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AA" w:rsidRDefault="00CB4FAA" w:rsidP="00CB4FAA">
      <w:pPr>
        <w:tabs>
          <w:tab w:val="left" w:pos="1236"/>
        </w:tabs>
        <w:rPr>
          <w:b/>
          <w:sz w:val="28"/>
          <w:szCs w:val="28"/>
        </w:rPr>
      </w:pPr>
      <w:r w:rsidRPr="00D2689C">
        <w:rPr>
          <w:noProof/>
          <w:sz w:val="4"/>
          <w:szCs w:val="4"/>
          <w:lang w:eastAsia="fr-FR"/>
        </w:rPr>
        <w:drawing>
          <wp:anchor distT="0" distB="0" distL="114300" distR="114300" simplePos="0" relativeHeight="251660288" behindDoc="0" locked="0" layoutInCell="1" allowOverlap="1" wp14:anchorId="06498107" wp14:editId="4CE7AACE">
            <wp:simplePos x="0" y="0"/>
            <wp:positionH relativeFrom="margin">
              <wp:align>right</wp:align>
            </wp:positionH>
            <wp:positionV relativeFrom="paragraph">
              <wp:posOffset>-267335</wp:posOffset>
            </wp:positionV>
            <wp:extent cx="1303655" cy="600710"/>
            <wp:effectExtent l="0" t="0" r="0" b="8890"/>
            <wp:wrapNone/>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r:link="rId8">
                      <a:extLst>
                        <a:ext uri="{28A0092B-C50C-407E-A947-70E740481C1C}">
                          <a14:useLocalDpi xmlns:a14="http://schemas.microsoft.com/office/drawing/2010/main" val="0"/>
                        </a:ext>
                      </a:extLst>
                    </a:blip>
                    <a:srcRect l="2461" t="11046" r="3580" b="5948"/>
                    <a:stretch>
                      <a:fillRect/>
                    </a:stretch>
                  </pic:blipFill>
                  <pic:spPr bwMode="auto">
                    <a:xfrm>
                      <a:off x="0" y="0"/>
                      <a:ext cx="130365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89C">
        <w:rPr>
          <w:noProof/>
          <w:sz w:val="4"/>
          <w:szCs w:val="4"/>
          <w:lang w:eastAsia="fr-FR"/>
        </w:rPr>
        <w:drawing>
          <wp:anchor distT="0" distB="0" distL="114300" distR="114300" simplePos="0" relativeHeight="251659264" behindDoc="0" locked="0" layoutInCell="1" allowOverlap="1" wp14:anchorId="6E9082B1" wp14:editId="38F2A2AF">
            <wp:simplePos x="0" y="0"/>
            <wp:positionH relativeFrom="margin">
              <wp:posOffset>213996</wp:posOffset>
            </wp:positionH>
            <wp:positionV relativeFrom="paragraph">
              <wp:posOffset>-328294</wp:posOffset>
            </wp:positionV>
            <wp:extent cx="1089660" cy="754380"/>
            <wp:effectExtent l="0" t="0" r="0" b="7620"/>
            <wp:wrapNone/>
            <wp:docPr id="1" name="Image 1" descr="Macintosh HD:Users:florencebaras:Desktop:Logo IC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Macintosh HD:Users:florencebaras:Desktop:Logo ICB 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5703" b="14846"/>
                    <a:stretch/>
                  </pic:blipFill>
                  <pic:spPr bwMode="auto">
                    <a:xfrm>
                      <a:off x="0" y="0"/>
                      <a:ext cx="1091838" cy="7558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szCs w:val="28"/>
        </w:rPr>
        <w:tab/>
      </w:r>
      <w:r>
        <w:rPr>
          <w:b/>
          <w:sz w:val="28"/>
          <w:szCs w:val="28"/>
        </w:rPr>
        <w:tab/>
      </w:r>
      <w:r>
        <w:rPr>
          <w:b/>
          <w:sz w:val="28"/>
          <w:szCs w:val="28"/>
        </w:rPr>
        <w:tab/>
      </w:r>
      <w:r>
        <w:rPr>
          <w:b/>
          <w:sz w:val="28"/>
          <w:szCs w:val="28"/>
        </w:rPr>
        <w:tab/>
        <w:t>Projet de thèse, Département PMDM</w:t>
      </w:r>
    </w:p>
    <w:p w:rsidR="00D2689C" w:rsidRDefault="00AE28CB" w:rsidP="00BB236B">
      <w:pPr>
        <w:jc w:val="center"/>
        <w:rPr>
          <w:b/>
          <w:sz w:val="24"/>
          <w:szCs w:val="24"/>
        </w:rPr>
      </w:pPr>
      <w:r>
        <w:rPr>
          <w:noProof/>
        </w:rPr>
        <mc:AlternateContent>
          <mc:Choice Requires="wps">
            <w:drawing>
              <wp:anchor distT="0" distB="0" distL="114300" distR="114300" simplePos="0" relativeHeight="251662336" behindDoc="0" locked="0" layoutInCell="1" allowOverlap="1" wp14:anchorId="06DF2C15" wp14:editId="3AAAE43E">
                <wp:simplePos x="0" y="0"/>
                <wp:positionH relativeFrom="margin">
                  <wp:align>right</wp:align>
                </wp:positionH>
                <wp:positionV relativeFrom="paragraph">
                  <wp:posOffset>128905</wp:posOffset>
                </wp:positionV>
                <wp:extent cx="6332220" cy="15240"/>
                <wp:effectExtent l="0" t="0" r="30480" b="22860"/>
                <wp:wrapNone/>
                <wp:docPr id="2" name="Connecteur droit 2"/>
                <wp:cNvGraphicFramePr/>
                <a:graphic xmlns:a="http://schemas.openxmlformats.org/drawingml/2006/main">
                  <a:graphicData uri="http://schemas.microsoft.com/office/word/2010/wordprocessingShape">
                    <wps:wsp>
                      <wps:cNvCnPr/>
                      <wps:spPr>
                        <a:xfrm flipV="1">
                          <a:off x="0" y="0"/>
                          <a:ext cx="6332220" cy="152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D875F" id="Connecteur droit 2"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4pt,10.15pt" to="94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" strokecolor="#5b9bd5 [3204]" strokeweight="1pt">
                <v:stroke joinstyle="miter"/>
                <w10:wrap anchorx="margin"/>
              </v:line>
            </w:pict>
          </mc:Fallback>
        </mc:AlternateContent>
      </w:r>
    </w:p>
    <w:p w:rsidR="00CB4FAA" w:rsidRDefault="00CB4FAA" w:rsidP="00CC7512">
      <w:pPr>
        <w:jc w:val="center"/>
        <w:rPr>
          <w:b/>
          <w:sz w:val="24"/>
          <w:szCs w:val="24"/>
        </w:rPr>
      </w:pPr>
      <w:bookmarkStart w:id="0" w:name="_GoBack"/>
      <w:bookmarkEnd w:id="0"/>
    </w:p>
    <w:p w:rsidR="00822083" w:rsidRPr="00BB236B" w:rsidRDefault="001A5591" w:rsidP="00CC7512">
      <w:pPr>
        <w:jc w:val="center"/>
        <w:rPr>
          <w:b/>
          <w:sz w:val="24"/>
          <w:szCs w:val="24"/>
        </w:rPr>
      </w:pPr>
      <w:r w:rsidRPr="00081FE1">
        <w:rPr>
          <w:b/>
          <w:sz w:val="24"/>
          <w:szCs w:val="24"/>
        </w:rPr>
        <w:t>Études des conditions d</w:t>
      </w:r>
      <w:r w:rsidR="00D678B5" w:rsidRPr="00081FE1">
        <w:rPr>
          <w:b/>
          <w:sz w:val="24"/>
          <w:szCs w:val="24"/>
        </w:rPr>
        <w:t>’un</w:t>
      </w:r>
      <w:r w:rsidRPr="00081FE1">
        <w:rPr>
          <w:b/>
          <w:sz w:val="24"/>
          <w:szCs w:val="24"/>
        </w:rPr>
        <w:t xml:space="preserve"> traitement de précontraintes visant à améliorer la résistance à l’oxydation d</w:t>
      </w:r>
      <w:r w:rsidR="00D678B5" w:rsidRPr="00081FE1">
        <w:rPr>
          <w:b/>
          <w:sz w:val="24"/>
          <w:szCs w:val="24"/>
        </w:rPr>
        <w:t>’alliages de</w:t>
      </w:r>
      <w:r w:rsidRPr="00081FE1">
        <w:rPr>
          <w:b/>
          <w:sz w:val="24"/>
          <w:szCs w:val="24"/>
        </w:rPr>
        <w:t xml:space="preserve"> titane à haute température </w:t>
      </w:r>
    </w:p>
    <w:p w:rsidR="00D2689C" w:rsidRDefault="006A2F8D" w:rsidP="00D2689C">
      <w:pPr>
        <w:spacing w:after="0" w:line="240" w:lineRule="auto"/>
        <w:jc w:val="both"/>
      </w:pPr>
      <w:r w:rsidRPr="00081FE1">
        <w:rPr>
          <w:b/>
          <w:i/>
        </w:rPr>
        <w:t>Encadrement :</w:t>
      </w:r>
      <w:r>
        <w:t xml:space="preserve"> Luc LAVISSE (Mcf HDR)</w:t>
      </w:r>
      <w:r w:rsidR="00D2689C" w:rsidRPr="00D2689C">
        <w:rPr>
          <w:b/>
          <w:i/>
        </w:rPr>
        <w:t xml:space="preserve"> </w:t>
      </w:r>
      <w:r w:rsidR="00D2689C">
        <w:rPr>
          <w:b/>
          <w:i/>
        </w:rPr>
        <w:tab/>
      </w:r>
      <w:r w:rsidR="00D2689C">
        <w:rPr>
          <w:b/>
          <w:i/>
        </w:rPr>
        <w:tab/>
      </w:r>
      <w:r w:rsidR="00D2689C">
        <w:rPr>
          <w:b/>
          <w:i/>
        </w:rPr>
        <w:tab/>
      </w:r>
      <w:r w:rsidR="00D2689C" w:rsidRPr="00081FE1">
        <w:rPr>
          <w:b/>
          <w:i/>
        </w:rPr>
        <w:t>Axe :</w:t>
      </w:r>
      <w:r w:rsidR="00D2689C">
        <w:t xml:space="preserve"> PMDM</w:t>
      </w:r>
      <w:r w:rsidR="00D2689C">
        <w:tab/>
      </w:r>
      <w:r w:rsidR="00D2689C">
        <w:tab/>
      </w:r>
      <w:r w:rsidR="00D2689C" w:rsidRPr="00081FE1">
        <w:rPr>
          <w:b/>
          <w:i/>
        </w:rPr>
        <w:t>Equipe :</w:t>
      </w:r>
      <w:r w:rsidR="00D2689C">
        <w:t xml:space="preserve"> M4OxE</w:t>
      </w:r>
    </w:p>
    <w:p w:rsidR="006A2F8D" w:rsidRDefault="006A2F8D" w:rsidP="00081FE1">
      <w:pPr>
        <w:spacing w:after="0" w:line="240" w:lineRule="auto"/>
        <w:jc w:val="both"/>
      </w:pPr>
      <w:r w:rsidRPr="00081FE1">
        <w:rPr>
          <w:b/>
          <w:i/>
        </w:rPr>
        <w:t>Co-encadrement :</w:t>
      </w:r>
      <w:r>
        <w:t xml:space="preserve"> Virgil OPTASANU (Mcf)</w:t>
      </w:r>
    </w:p>
    <w:p w:rsidR="006A2F8D" w:rsidRPr="00081FE1" w:rsidRDefault="007F6CE8" w:rsidP="00081FE1">
      <w:pPr>
        <w:spacing w:after="0" w:line="240" w:lineRule="auto"/>
        <w:jc w:val="both"/>
        <w:rPr>
          <w:b/>
          <w:i/>
        </w:rPr>
      </w:pPr>
      <w:r>
        <w:rPr>
          <w:b/>
          <w:i/>
        </w:rPr>
        <w:t>Collaborations</w:t>
      </w:r>
      <w:r w:rsidRPr="00081FE1">
        <w:rPr>
          <w:b/>
          <w:i/>
        </w:rPr>
        <w:t xml:space="preserve"> </w:t>
      </w:r>
      <w:r w:rsidR="006A2F8D" w:rsidRPr="00081FE1">
        <w:rPr>
          <w:b/>
          <w:i/>
        </w:rPr>
        <w:t>:</w:t>
      </w:r>
    </w:p>
    <w:p w:rsidR="00EC3979" w:rsidRPr="00CA5DEC" w:rsidRDefault="006A2F8D" w:rsidP="00081FE1">
      <w:pPr>
        <w:spacing w:after="0" w:line="240" w:lineRule="auto"/>
        <w:jc w:val="both"/>
        <w:rPr>
          <w:lang w:val="de-DE"/>
        </w:rPr>
      </w:pPr>
      <w:r>
        <w:tab/>
      </w:r>
      <w:r w:rsidRPr="00CA5DEC">
        <w:rPr>
          <w:lang w:val="de-DE"/>
        </w:rPr>
        <w:t>- ICB : Interfaces (SIOM)</w:t>
      </w:r>
      <w:r w:rsidR="00D2689C">
        <w:rPr>
          <w:lang w:val="de-DE"/>
        </w:rPr>
        <w:tab/>
      </w:r>
      <w:r w:rsidR="00D2689C">
        <w:rPr>
          <w:lang w:val="de-DE"/>
        </w:rPr>
        <w:tab/>
      </w:r>
      <w:r w:rsidR="00EC3979" w:rsidRPr="00CA5DEC">
        <w:rPr>
          <w:lang w:val="de-DE"/>
        </w:rPr>
        <w:t>- Paristech ENSAM : PIMM</w:t>
      </w:r>
    </w:p>
    <w:p w:rsidR="006A2F8D" w:rsidRPr="00D2689C" w:rsidRDefault="006A2F8D" w:rsidP="00081FE1">
      <w:pPr>
        <w:spacing w:after="0" w:line="240" w:lineRule="auto"/>
        <w:jc w:val="both"/>
      </w:pPr>
      <w:r w:rsidRPr="00CA5DEC">
        <w:rPr>
          <w:lang w:val="de-DE"/>
        </w:rPr>
        <w:tab/>
      </w:r>
      <w:r>
        <w:t>- Université de Lorraine : LEM3 et IJL</w:t>
      </w:r>
      <w:r>
        <w:tab/>
      </w:r>
      <w:r w:rsidRPr="00D2689C">
        <w:t>- UTT : LASMIS</w:t>
      </w:r>
    </w:p>
    <w:p w:rsidR="00621340" w:rsidRPr="00D2689C" w:rsidRDefault="006A2F8D" w:rsidP="00081FE1">
      <w:pPr>
        <w:spacing w:after="0" w:line="240" w:lineRule="auto"/>
        <w:jc w:val="both"/>
      </w:pPr>
      <w:r w:rsidRPr="00D2689C">
        <w:tab/>
        <w:t xml:space="preserve">- </w:t>
      </w:r>
      <w:r w:rsidR="00EC3979" w:rsidRPr="00D2689C">
        <w:t>CEA Saclay : NIMBE-LEEL</w:t>
      </w:r>
      <w:r w:rsidR="00D2689C">
        <w:tab/>
      </w:r>
      <w:r w:rsidR="00621340" w:rsidRPr="00D2689C">
        <w:tab/>
      </w:r>
      <w:r w:rsidR="00621340" w:rsidRPr="00242CB0">
        <w:t xml:space="preserve">- IM2P Marseille &amp; DIFFLAB </w:t>
      </w:r>
      <w:r w:rsidR="00DE2ED9" w:rsidRPr="00242CB0">
        <w:t>Synchrotron</w:t>
      </w:r>
      <w:r w:rsidR="00621340" w:rsidRPr="00242CB0">
        <w:t xml:space="preserve"> </w:t>
      </w:r>
      <w:r w:rsidR="00DE2ED9" w:rsidRPr="00242CB0">
        <w:t>SOLEIL</w:t>
      </w:r>
      <w:r w:rsidR="00DE2ED9" w:rsidRPr="00242CB0">
        <w:rPr>
          <w:b/>
        </w:rPr>
        <w:t xml:space="preserve"> </w:t>
      </w:r>
    </w:p>
    <w:p w:rsidR="006A2F8D" w:rsidRPr="00242CB0" w:rsidRDefault="006A2F8D" w:rsidP="00081FE1">
      <w:pPr>
        <w:spacing w:after="0" w:line="240" w:lineRule="auto"/>
        <w:jc w:val="both"/>
      </w:pPr>
    </w:p>
    <w:p w:rsidR="001A5591" w:rsidRPr="00081FE1" w:rsidRDefault="00822083" w:rsidP="00D2689C">
      <w:pPr>
        <w:spacing w:after="0"/>
        <w:jc w:val="both"/>
        <w:rPr>
          <w:b/>
          <w:i/>
          <w:u w:val="single"/>
        </w:rPr>
      </w:pPr>
      <w:r w:rsidRPr="00081FE1">
        <w:rPr>
          <w:b/>
          <w:i/>
          <w:u w:val="single"/>
        </w:rPr>
        <w:t xml:space="preserve">1) </w:t>
      </w:r>
      <w:r w:rsidR="001A5591" w:rsidRPr="00081FE1">
        <w:rPr>
          <w:b/>
          <w:i/>
          <w:u w:val="single"/>
        </w:rPr>
        <w:t>Contexte :</w:t>
      </w:r>
    </w:p>
    <w:p w:rsidR="00DC3562" w:rsidRDefault="00DC3562" w:rsidP="00DC3562">
      <w:pPr>
        <w:jc w:val="both"/>
      </w:pPr>
      <w:r>
        <w:t>La conception des avions du futur (allègement des structures, amélioration de la durabilité des composants, réduction de la consommation de carburant), nécessitent de trouver des solutions pour l’utilisation d’alliages plus légers comme le sont les alliages de titane par rapport à ceux de nickel. Divers solutions sont envisageables</w:t>
      </w:r>
      <w:r w:rsidRPr="00DC3562">
        <w:t xml:space="preserve"> </w:t>
      </w:r>
      <w:r>
        <w:t>pour étendre d</w:t>
      </w:r>
      <w:r w:rsidR="007F764A">
        <w:t xml:space="preserve">’une cinquantaine de degrés </w:t>
      </w:r>
      <w:r>
        <w:t>le domaine d’utilisation de</w:t>
      </w:r>
      <w:r w:rsidR="007F764A">
        <w:t xml:space="preserve"> ce</w:t>
      </w:r>
      <w:r>
        <w:t xml:space="preserve">s alliages </w:t>
      </w:r>
      <w:r w:rsidR="007F764A">
        <w:t xml:space="preserve">de titane, soit de 600 à 650°C, d’une part par </w:t>
      </w:r>
      <w:r>
        <w:t>le développement d</w:t>
      </w:r>
      <w:r w:rsidR="007F764A">
        <w:t>’un</w:t>
      </w:r>
      <w:r>
        <w:t xml:space="preserve"> nouvel alliages </w:t>
      </w:r>
      <w:r w:rsidR="007F764A">
        <w:t xml:space="preserve">aéronautique, </w:t>
      </w:r>
      <w:r>
        <w:t xml:space="preserve">ANR-ALTITUDE ou </w:t>
      </w:r>
      <w:r w:rsidR="007F764A">
        <w:t xml:space="preserve">d’autre part </w:t>
      </w:r>
      <w:r>
        <w:t>d’effectuer des traitements mécaniques de précontrainte, avec application potentielle dans les étages supérieurs des compresseurs ou sur les exhausts des turboréacteurs.</w:t>
      </w:r>
    </w:p>
    <w:p w:rsidR="007F764A" w:rsidRDefault="0063236E" w:rsidP="00976670">
      <w:pPr>
        <w:jc w:val="both"/>
      </w:pPr>
      <w:r>
        <w:t>Le sujet proposé</w:t>
      </w:r>
      <w:r w:rsidR="00F56B03">
        <w:t xml:space="preserve"> fait suite </w:t>
      </w:r>
      <w:r w:rsidR="007F764A">
        <w:t>aux</w:t>
      </w:r>
      <w:r w:rsidR="00976670">
        <w:t xml:space="preserve"> trava</w:t>
      </w:r>
      <w:r w:rsidR="007F764A">
        <w:t xml:space="preserve">ux </w:t>
      </w:r>
      <w:r w:rsidR="00352AB5">
        <w:t>de t</w:t>
      </w:r>
      <w:r w:rsidR="00706C84">
        <w:t xml:space="preserve">hèse </w:t>
      </w:r>
      <w:r w:rsidR="00976670">
        <w:t xml:space="preserve">d’Armand </w:t>
      </w:r>
      <w:r w:rsidR="00706C84">
        <w:t>KANJER</w:t>
      </w:r>
      <w:r w:rsidR="004A2ACC">
        <w:t xml:space="preserve"> [1,2]</w:t>
      </w:r>
      <w:r w:rsidR="00F56B03">
        <w:t>, qui</w:t>
      </w:r>
      <w:r w:rsidR="00706C84">
        <w:t xml:space="preserve"> </w:t>
      </w:r>
      <w:r w:rsidR="00976670">
        <w:t xml:space="preserve">a </w:t>
      </w:r>
      <w:r>
        <w:t xml:space="preserve">examiné la tenue </w:t>
      </w:r>
      <w:r w:rsidR="00DC3562">
        <w:t>à</w:t>
      </w:r>
      <w:r>
        <w:t xml:space="preserve"> l’oxydation de deux alliages de titane (une nuance alpha Ti CP grade 2 et un nuance Béta métastable, Ti</w:t>
      </w:r>
      <w:r>
        <w:sym w:font="Symbol" w:char="F062"/>
      </w:r>
      <w:r>
        <w:t>21S de la société TIMET)</w:t>
      </w:r>
      <w:r w:rsidR="00DC3562">
        <w:t>. Il avait</w:t>
      </w:r>
      <w:r>
        <w:t xml:space="preserve"> constaté une réduction de leur prise de masse </w:t>
      </w:r>
      <w:r w:rsidR="00F56B03">
        <w:t>pouvant atteindre 70%, lorsqu</w:t>
      </w:r>
      <w:r>
        <w:t>e l’oxydation</w:t>
      </w:r>
      <w:r w:rsidR="00F56B03">
        <w:t xml:space="preserve"> est précédée</w:t>
      </w:r>
      <w:r w:rsidR="00706C84">
        <w:t xml:space="preserve"> d’un</w:t>
      </w:r>
      <w:r w:rsidR="00976670">
        <w:t xml:space="preserve"> traitement de précontraintes </w:t>
      </w:r>
      <w:r w:rsidR="00706C84">
        <w:t>de type choc laser ou grenaillag</w:t>
      </w:r>
      <w:r>
        <w:t>e.</w:t>
      </w:r>
      <w:r w:rsidR="00DC3562">
        <w:t xml:space="preserve"> Néanmoins le traitement de choc laser s’est révélé être plus protecteur que le grenaillage vis-à-vis de l’oxydation à haute température </w:t>
      </w:r>
      <w:r w:rsidR="007F764A">
        <w:t xml:space="preserve">pour ces deux </w:t>
      </w:r>
      <w:r w:rsidR="00DC3562">
        <w:t xml:space="preserve">alliages. </w:t>
      </w:r>
    </w:p>
    <w:p w:rsidR="0063236E" w:rsidRDefault="00DC3562" w:rsidP="00976670">
      <w:pPr>
        <w:jc w:val="both"/>
      </w:pPr>
      <w:r>
        <w:t xml:space="preserve">Aussi </w:t>
      </w:r>
      <w:r w:rsidR="007F764A">
        <w:t>n</w:t>
      </w:r>
      <w:r>
        <w:t xml:space="preserve">ous avons développés </w:t>
      </w:r>
      <w:r w:rsidR="007F764A">
        <w:t xml:space="preserve">localement et à posteriori de ces travaux de thèse, </w:t>
      </w:r>
      <w:r>
        <w:t>un traitement de micro-choc laser conjointement avec LTm</w:t>
      </w:r>
      <w:r w:rsidRPr="00DC3562">
        <w:t xml:space="preserve"> </w:t>
      </w:r>
      <w:r>
        <w:t xml:space="preserve">et </w:t>
      </w:r>
      <w:r w:rsidR="007F6CE8">
        <w:t xml:space="preserve">SAYENS </w:t>
      </w:r>
      <w:r>
        <w:t xml:space="preserve">[Brevet </w:t>
      </w:r>
      <w:r w:rsidR="007F6CE8">
        <w:t>SAYENS</w:t>
      </w:r>
      <w:r>
        <w:t xml:space="preserve">]. </w:t>
      </w:r>
      <w:r w:rsidR="007F764A">
        <w:t xml:space="preserve">Il est néanmoins nécessaire d’optimiser les conditions d’amélioration de ces traitements sur la résistance à l’oxydation à HT d’alliages de titane. </w:t>
      </w:r>
    </w:p>
    <w:p w:rsidR="00BB236B" w:rsidRDefault="00263452" w:rsidP="00D2689C">
      <w:pPr>
        <w:jc w:val="both"/>
      </w:pPr>
      <w:r>
        <w:t>Cette optimisation s’appuiera sur</w:t>
      </w:r>
      <w:r w:rsidR="007F764A">
        <w:t xml:space="preserve"> </w:t>
      </w:r>
      <w:r w:rsidR="00822083">
        <w:t>d</w:t>
      </w:r>
      <w:r w:rsidR="00976670">
        <w:t xml:space="preserve">eux </w:t>
      </w:r>
      <w:r>
        <w:t xml:space="preserve">voies </w:t>
      </w:r>
      <w:r w:rsidR="00822083">
        <w:t>d’investigatio</w:t>
      </w:r>
      <w:r>
        <w:t xml:space="preserve">ns, </w:t>
      </w:r>
      <w:r w:rsidR="00822083">
        <w:t xml:space="preserve"> </w:t>
      </w:r>
      <w:r w:rsidR="00CA5DEC">
        <w:t>u</w:t>
      </w:r>
      <w:r w:rsidR="00D82DAF">
        <w:t xml:space="preserve">ne </w:t>
      </w:r>
      <w:r>
        <w:t xml:space="preserve">numérique s’appuyant sur les logiciels </w:t>
      </w:r>
      <w:r w:rsidR="007F6CE8">
        <w:t>CASTEM</w:t>
      </w:r>
      <w:r>
        <w:t xml:space="preserve"> et/ou </w:t>
      </w:r>
      <w:r w:rsidR="007F6CE8">
        <w:t>ABAQUS</w:t>
      </w:r>
      <w:r>
        <w:t xml:space="preserve"> pour effectuer des calculs multiphysiques afin d’évaluer les conséquences du traitement de choc laser sur le matériau et une expérimentale pour</w:t>
      </w:r>
      <w:r w:rsidR="00D82DAF">
        <w:t xml:space="preserve"> étudier le début de la cinétique d’oxydation après la modification apportée par le traitement de précontrainte</w:t>
      </w:r>
      <w:r w:rsidR="00CA5DEC">
        <w:t xml:space="preserve"> </w:t>
      </w:r>
      <w:r>
        <w:t xml:space="preserve">en y intégrant les aspects </w:t>
      </w:r>
      <w:r w:rsidR="00CA5DEC">
        <w:t>mécan</w:t>
      </w:r>
      <w:r>
        <w:t>iques</w:t>
      </w:r>
      <w:r w:rsidR="00AF167E">
        <w:t>.</w:t>
      </w:r>
      <w:r>
        <w:t xml:space="preserve"> Les alliages du titane iront du titane pur, à l’alliage Béta-métastable, le Ti21S en passant par des alliages intermédiaires, le Ti6242, un alliage quasi- alpha et du TA6V4, un alliage </w:t>
      </w:r>
      <w:r>
        <w:rPr>
          <w:rFonts w:cstheme="minorHAnsi"/>
        </w:rPr>
        <w:t>α + β</w:t>
      </w:r>
      <w:r>
        <w:t xml:space="preserve">. </w:t>
      </w:r>
    </w:p>
    <w:p w:rsidR="001A5591" w:rsidRPr="00081FE1" w:rsidRDefault="00822083" w:rsidP="00D2689C">
      <w:pPr>
        <w:spacing w:after="0"/>
        <w:jc w:val="both"/>
        <w:rPr>
          <w:b/>
          <w:i/>
          <w:u w:val="single"/>
        </w:rPr>
      </w:pPr>
      <w:r w:rsidRPr="00081FE1">
        <w:rPr>
          <w:b/>
          <w:i/>
          <w:u w:val="single"/>
        </w:rPr>
        <w:t xml:space="preserve">2) </w:t>
      </w:r>
      <w:r w:rsidR="007F6CE8" w:rsidRPr="00081FE1">
        <w:rPr>
          <w:b/>
          <w:i/>
          <w:u w:val="single"/>
        </w:rPr>
        <w:t>Dé</w:t>
      </w:r>
      <w:r w:rsidR="007F6CE8">
        <w:rPr>
          <w:b/>
          <w:i/>
          <w:u w:val="single"/>
        </w:rPr>
        <w:t>roulement de l’étude</w:t>
      </w:r>
    </w:p>
    <w:p w:rsidR="00263452" w:rsidRDefault="00263452" w:rsidP="00D2689C">
      <w:pPr>
        <w:spacing w:after="0"/>
        <w:jc w:val="both"/>
        <w:rPr>
          <w:b/>
        </w:rPr>
      </w:pPr>
      <w:r w:rsidRPr="00D2689C">
        <w:rPr>
          <w:b/>
          <w:u w:val="single"/>
        </w:rPr>
        <w:t>La modélisation</w:t>
      </w:r>
      <w:r>
        <w:rPr>
          <w:b/>
        </w:rPr>
        <w:t xml:space="preserve"> visera à </w:t>
      </w:r>
      <w:r w:rsidR="00C24C2F">
        <w:rPr>
          <w:b/>
        </w:rPr>
        <w:t>un</w:t>
      </w:r>
      <w:r w:rsidR="00A63771">
        <w:rPr>
          <w:b/>
        </w:rPr>
        <w:t xml:space="preserve"> des effets engendrer par le choc laser </w:t>
      </w:r>
      <w:r>
        <w:rPr>
          <w:b/>
        </w:rPr>
        <w:t>:</w:t>
      </w:r>
    </w:p>
    <w:p w:rsidR="00A63771" w:rsidRPr="00D2689C" w:rsidRDefault="00263452" w:rsidP="00D2689C">
      <w:pPr>
        <w:pStyle w:val="Paragraphedeliste"/>
        <w:numPr>
          <w:ilvl w:val="0"/>
          <w:numId w:val="7"/>
        </w:numPr>
        <w:jc w:val="both"/>
      </w:pPr>
      <w:r w:rsidRPr="00D2689C">
        <w:t xml:space="preserve">Simuler les conditions de maclage du matériau multigrains sous l’effet </w:t>
      </w:r>
      <w:r w:rsidR="00A63771" w:rsidRPr="00D2689C">
        <w:t xml:space="preserve">de l’onde mécanique </w:t>
      </w:r>
      <w:r w:rsidRPr="00D2689C">
        <w:t xml:space="preserve">générée par </w:t>
      </w:r>
      <w:r w:rsidR="00A63771" w:rsidRPr="00D2689C">
        <w:t>le choc laser</w:t>
      </w:r>
    </w:p>
    <w:p w:rsidR="00263452" w:rsidRPr="00D2689C" w:rsidRDefault="00A63771" w:rsidP="00D2689C">
      <w:pPr>
        <w:pStyle w:val="Paragraphedeliste"/>
        <w:numPr>
          <w:ilvl w:val="0"/>
          <w:numId w:val="7"/>
        </w:numPr>
        <w:jc w:val="both"/>
      </w:pPr>
      <w:r w:rsidRPr="00D2689C">
        <w:t>Le calcul se basera sur l’établissement d’une condition de maclage portant sur la contrainte de cisaillement dans la direction des plans cristallographiques préférentiels</w:t>
      </w:r>
    </w:p>
    <w:p w:rsidR="00A63771" w:rsidRDefault="00A63771" w:rsidP="00D2689C">
      <w:pPr>
        <w:pStyle w:val="Paragraphedeliste"/>
        <w:numPr>
          <w:ilvl w:val="0"/>
          <w:numId w:val="7"/>
        </w:numPr>
        <w:jc w:val="both"/>
      </w:pPr>
      <w:r w:rsidRPr="00D2689C">
        <w:t>Par l’intermédiaire d’une comparaison EBSD</w:t>
      </w:r>
      <w:r w:rsidR="00C24C2F">
        <w:t>,</w:t>
      </w:r>
      <w:r w:rsidRPr="00D2689C">
        <w:t xml:space="preserve"> nous pourrons ainsi établir </w:t>
      </w:r>
      <w:r w:rsidRPr="00C24C2F">
        <w:rPr>
          <w:b/>
        </w:rPr>
        <w:t>un critère de maclage</w:t>
      </w:r>
      <w:r w:rsidRPr="00D2689C">
        <w:t xml:space="preserve"> portant sur la contrainte limite de maclage nous permettant par la suite des conditions de traitements par conséquent sur les conditions de traitement</w:t>
      </w:r>
      <w:r w:rsidR="00C24C2F">
        <w:t xml:space="preserve">. Ce critère est une avancée primordiale pour l’amélioration de ses alliages. </w:t>
      </w:r>
    </w:p>
    <w:p w:rsidR="00A63771" w:rsidRDefault="00A63771">
      <w:pPr>
        <w:jc w:val="both"/>
      </w:pPr>
      <w:r>
        <w:t xml:space="preserve">Cette simulation a été déjà initier </w:t>
      </w:r>
      <w:r w:rsidR="00C24C2F">
        <w:t>lors d’un</w:t>
      </w:r>
      <w:r>
        <w:t xml:space="preserve"> stage de ROMEO KAVEGE (ENIM-LEM3) [Rapport stage R. KAVEGE]. </w:t>
      </w:r>
    </w:p>
    <w:p w:rsidR="007F6CE8" w:rsidRPr="00A63771" w:rsidRDefault="00C24C2F">
      <w:pPr>
        <w:jc w:val="both"/>
      </w:pPr>
      <w:r>
        <w:lastRenderedPageBreak/>
        <w:t xml:space="preserve">De plus, la prise en compte de différentes lois de comportement complexe pourrait aboutir à la généralisation du modèle à d’autres matériaux avec d’autres structures cristallines ou d’autres bases métalliques comme le fer pour les aciers. </w:t>
      </w:r>
    </w:p>
    <w:p w:rsidR="00C7595F" w:rsidRPr="00C519D9" w:rsidRDefault="00C7595F" w:rsidP="00E8004A">
      <w:pPr>
        <w:jc w:val="both"/>
        <w:rPr>
          <w:b/>
        </w:rPr>
      </w:pPr>
      <w:r w:rsidRPr="00D2689C">
        <w:rPr>
          <w:b/>
          <w:u w:val="single"/>
        </w:rPr>
        <w:t xml:space="preserve">La </w:t>
      </w:r>
      <w:r w:rsidR="00C24C2F" w:rsidRPr="00D2689C">
        <w:rPr>
          <w:b/>
          <w:u w:val="single"/>
        </w:rPr>
        <w:t>partie expérimentale</w:t>
      </w:r>
      <w:r w:rsidR="00C24C2F">
        <w:rPr>
          <w:b/>
        </w:rPr>
        <w:t xml:space="preserve"> </w:t>
      </w:r>
      <w:r w:rsidRPr="00C519D9">
        <w:rPr>
          <w:b/>
        </w:rPr>
        <w:t xml:space="preserve">est orientée </w:t>
      </w:r>
      <w:r w:rsidR="00C24C2F">
        <w:rPr>
          <w:b/>
        </w:rPr>
        <w:t xml:space="preserve">sur les conséquence vis-à-vis de l’oxydation à HT </w:t>
      </w:r>
      <w:r w:rsidRPr="00C519D9">
        <w:rPr>
          <w:b/>
        </w:rPr>
        <w:t>des effets d</w:t>
      </w:r>
      <w:r w:rsidR="00830111">
        <w:rPr>
          <w:b/>
        </w:rPr>
        <w:t>u</w:t>
      </w:r>
      <w:r w:rsidRPr="00C519D9">
        <w:rPr>
          <w:b/>
        </w:rPr>
        <w:t xml:space="preserve"> traitement de précontraintes</w:t>
      </w:r>
      <w:r w:rsidR="00AF167E">
        <w:rPr>
          <w:b/>
        </w:rPr>
        <w:t xml:space="preserve">. </w:t>
      </w:r>
      <w:r w:rsidRPr="00C519D9">
        <w:rPr>
          <w:b/>
        </w:rPr>
        <w:t>Elle</w:t>
      </w:r>
      <w:r w:rsidR="00976670" w:rsidRPr="00C519D9">
        <w:rPr>
          <w:b/>
        </w:rPr>
        <w:t xml:space="preserve"> porte sur l</w:t>
      </w:r>
      <w:r w:rsidRPr="00C519D9">
        <w:rPr>
          <w:b/>
        </w:rPr>
        <w:t xml:space="preserve">es </w:t>
      </w:r>
      <w:r w:rsidR="00830111">
        <w:rPr>
          <w:b/>
        </w:rPr>
        <w:t>premiers instants</w:t>
      </w:r>
      <w:r w:rsidR="00830111" w:rsidRPr="00C519D9">
        <w:rPr>
          <w:b/>
        </w:rPr>
        <w:t xml:space="preserve"> </w:t>
      </w:r>
      <w:r w:rsidRPr="00C519D9">
        <w:rPr>
          <w:b/>
        </w:rPr>
        <w:t>d’oxydation de ces alliages</w:t>
      </w:r>
      <w:r w:rsidR="00830111">
        <w:rPr>
          <w:b/>
        </w:rPr>
        <w:t xml:space="preserve"> et son objectif est de comprendre comment le choc laser</w:t>
      </w:r>
      <w:r w:rsidR="00352AB5">
        <w:rPr>
          <w:b/>
        </w:rPr>
        <w:t xml:space="preserve"> </w:t>
      </w:r>
      <w:r w:rsidR="00830111">
        <w:rPr>
          <w:b/>
        </w:rPr>
        <w:t xml:space="preserve">améliore la résistance </w:t>
      </w:r>
      <w:r w:rsidR="001721BF">
        <w:rPr>
          <w:b/>
        </w:rPr>
        <w:t xml:space="preserve">à l’oxydation à haute température </w:t>
      </w:r>
      <w:r w:rsidR="00D1614A">
        <w:rPr>
          <w:b/>
        </w:rPr>
        <w:t>au-delà</w:t>
      </w:r>
      <w:r w:rsidR="001721BF">
        <w:rPr>
          <w:b/>
        </w:rPr>
        <w:t xml:space="preserve"> de 500°C dans l’air sec.</w:t>
      </w:r>
      <w:r w:rsidR="00830111">
        <w:rPr>
          <w:b/>
        </w:rPr>
        <w:t xml:space="preserve"> </w:t>
      </w:r>
    </w:p>
    <w:p w:rsidR="00C7595F" w:rsidRDefault="00C7595F" w:rsidP="00081FE1">
      <w:pPr>
        <w:jc w:val="both"/>
      </w:pPr>
      <w:r>
        <w:t xml:space="preserve">L’étude du début de la cinétique d’oxydation </w:t>
      </w:r>
      <w:r w:rsidR="00830111">
        <w:t xml:space="preserve">nécessite </w:t>
      </w:r>
      <w:r>
        <w:t xml:space="preserve">l’utilisation de techniques expérimentales </w:t>
      </w:r>
      <w:r w:rsidR="00830111">
        <w:t>particulières</w:t>
      </w:r>
      <w:r w:rsidR="001721BF">
        <w:t xml:space="preserve">, différentes </w:t>
      </w:r>
      <w:r w:rsidR="002440B3">
        <w:t xml:space="preserve">de </w:t>
      </w:r>
      <w:r w:rsidR="001721BF">
        <w:t>celles exploitées par A. KANJER</w:t>
      </w:r>
      <w:r w:rsidR="00830111">
        <w:t xml:space="preserve"> </w:t>
      </w:r>
      <w:r>
        <w:t xml:space="preserve">: </w:t>
      </w:r>
    </w:p>
    <w:p w:rsidR="00C7595F" w:rsidRDefault="00C7595F" w:rsidP="00081FE1">
      <w:pPr>
        <w:pStyle w:val="Paragraphedeliste"/>
        <w:numPr>
          <w:ilvl w:val="2"/>
          <w:numId w:val="2"/>
        </w:numPr>
        <w:tabs>
          <w:tab w:val="left" w:pos="1665"/>
        </w:tabs>
        <w:spacing w:after="200" w:line="276" w:lineRule="auto"/>
        <w:ind w:left="851"/>
        <w:jc w:val="both"/>
      </w:pPr>
      <w:r w:rsidRPr="00242CB0">
        <w:t xml:space="preserve">Des analyses </w:t>
      </w:r>
      <w:r w:rsidR="00E305F7" w:rsidRPr="00242CB0">
        <w:t xml:space="preserve">par Atome Probe Tomography (ATP) couplées à des analyses </w:t>
      </w:r>
      <w:r w:rsidRPr="00242CB0">
        <w:t xml:space="preserve">MET </w:t>
      </w:r>
      <w:r w:rsidR="00E305F7" w:rsidRPr="00242CB0">
        <w:t>avec l’IM2NP de Marseille (D MANGELINK à Marseille) peuvent permettre</w:t>
      </w:r>
      <w:r w:rsidR="00E305F7" w:rsidRPr="00242CB0">
        <w:rPr>
          <w:b/>
        </w:rPr>
        <w:t xml:space="preserve"> </w:t>
      </w:r>
      <w:r w:rsidR="00E305F7">
        <w:t xml:space="preserve">d’explorer </w:t>
      </w:r>
      <w:r>
        <w:t xml:space="preserve">l’interface </w:t>
      </w:r>
      <w:r w:rsidR="001721BF">
        <w:t>entre l’</w:t>
      </w:r>
      <w:r>
        <w:t>oxyde</w:t>
      </w:r>
      <w:r w:rsidR="001721BF">
        <w:t xml:space="preserve"> et la </w:t>
      </w:r>
      <w:r>
        <w:t>couche de diffusion permettr</w:t>
      </w:r>
      <w:r w:rsidR="00352AB5">
        <w:t>ont</w:t>
      </w:r>
      <w:r>
        <w:t xml:space="preserve"> d’identifier et de caractériser plus finement les phases </w:t>
      </w:r>
      <w:r w:rsidR="001721BF">
        <w:t>observée par</w:t>
      </w:r>
      <w:r>
        <w:t xml:space="preserve"> DRX et spectroscopie Raman</w:t>
      </w:r>
      <w:r w:rsidR="001721BF">
        <w:t xml:space="preserve"> par A. KANJER</w:t>
      </w:r>
      <w:r>
        <w:t xml:space="preserve">. </w:t>
      </w:r>
      <w:r w:rsidR="00352AB5">
        <w:t xml:space="preserve">Nous </w:t>
      </w:r>
      <w:r w:rsidR="002440B3">
        <w:t xml:space="preserve">complèterons ces analyses par des </w:t>
      </w:r>
      <w:r>
        <w:t>simul</w:t>
      </w:r>
      <w:r w:rsidR="00352AB5">
        <w:t>ation</w:t>
      </w:r>
      <w:r w:rsidR="002440B3">
        <w:t>s</w:t>
      </w:r>
      <w:r w:rsidR="00352AB5">
        <w:t xml:space="preserve"> thermodynamique</w:t>
      </w:r>
      <w:r w:rsidR="002440B3">
        <w:t xml:space="preserve">s de type </w:t>
      </w:r>
      <w:r w:rsidR="00352AB5">
        <w:t>THERMOCALC</w:t>
      </w:r>
      <w:r w:rsidR="00E305F7">
        <w:t xml:space="preserve"> avec IJL Université de Lorraine</w:t>
      </w:r>
      <w:r w:rsidR="00352AB5">
        <w:t>,</w:t>
      </w:r>
      <w:r>
        <w:t xml:space="preserve"> </w:t>
      </w:r>
      <w:r w:rsidR="002440B3">
        <w:t>afin</w:t>
      </w:r>
      <w:r w:rsidR="00352AB5">
        <w:t xml:space="preserve"> </w:t>
      </w:r>
      <w:r w:rsidR="002440B3">
        <w:t>d’</w:t>
      </w:r>
      <w:r w:rsidR="00352AB5">
        <w:t xml:space="preserve">interpréter </w:t>
      </w:r>
      <w:r>
        <w:t xml:space="preserve">la formation des couches d’oxynitrure de titane </w:t>
      </w:r>
      <w:r w:rsidR="00352AB5" w:rsidRPr="00242CB0">
        <w:t xml:space="preserve">observée par </w:t>
      </w:r>
      <w:r w:rsidR="00E305F7" w:rsidRPr="00242CB0">
        <w:t>APT-</w:t>
      </w:r>
      <w:r w:rsidR="00352AB5" w:rsidRPr="00242CB0">
        <w:t xml:space="preserve">MET. </w:t>
      </w:r>
      <w:r w:rsidR="00352AB5">
        <w:t>Elles</w:t>
      </w:r>
      <w:r>
        <w:t xml:space="preserve"> semblent </w:t>
      </w:r>
      <w:r w:rsidR="002440B3">
        <w:t xml:space="preserve">en effet </w:t>
      </w:r>
      <w:r>
        <w:t xml:space="preserve">avoir un rôle particulier notamment </w:t>
      </w:r>
      <w:r w:rsidR="00352AB5">
        <w:t>dans l’adhérence de la couche</w:t>
      </w:r>
      <w:r>
        <w:t xml:space="preserve"> </w:t>
      </w:r>
      <w:r w:rsidR="00352AB5">
        <w:t>d</w:t>
      </w:r>
      <w:r>
        <w:t xml:space="preserve">’oxyde </w:t>
      </w:r>
      <w:r w:rsidR="00352AB5">
        <w:t xml:space="preserve">sur </w:t>
      </w:r>
      <w:r>
        <w:t xml:space="preserve">la couche </w:t>
      </w:r>
      <w:r w:rsidR="002440B3">
        <w:t xml:space="preserve">métallique de </w:t>
      </w:r>
      <w:r>
        <w:t>diffusion</w:t>
      </w:r>
      <w:r w:rsidR="002440B3">
        <w:t>.</w:t>
      </w:r>
    </w:p>
    <w:p w:rsidR="002440B3" w:rsidRPr="00242CB0" w:rsidRDefault="002440B3" w:rsidP="00081FE1">
      <w:pPr>
        <w:pStyle w:val="Paragraphedeliste"/>
        <w:numPr>
          <w:ilvl w:val="2"/>
          <w:numId w:val="2"/>
        </w:numPr>
        <w:tabs>
          <w:tab w:val="left" w:pos="1665"/>
        </w:tabs>
        <w:spacing w:after="200" w:line="276" w:lineRule="auto"/>
        <w:ind w:left="851"/>
        <w:jc w:val="both"/>
      </w:pPr>
      <w:r>
        <w:t>La technique de</w:t>
      </w:r>
      <w:r w:rsidR="00C7595F">
        <w:t xml:space="preserve"> marquage isotopique à partir d’azote 15 </w:t>
      </w:r>
      <w:r>
        <w:t>ou/et d’isotope 18 de l’</w:t>
      </w:r>
      <w:r w:rsidR="00CA5DEC">
        <w:t>oxygène</w:t>
      </w:r>
      <w:r>
        <w:t xml:space="preserve"> </w:t>
      </w:r>
      <w:r w:rsidR="00C7595F">
        <w:t xml:space="preserve">pourra être </w:t>
      </w:r>
      <w:r w:rsidR="00E305F7">
        <w:t>exploitée</w:t>
      </w:r>
      <w:r w:rsidR="00C7595F">
        <w:t xml:space="preserve">. </w:t>
      </w:r>
      <w:r w:rsidR="00E305F7">
        <w:t>En effet, c</w:t>
      </w:r>
      <w:r w:rsidR="00C7595F">
        <w:t xml:space="preserve">ela </w:t>
      </w:r>
      <w:r w:rsidR="00E305F7">
        <w:t>devrait permettre</w:t>
      </w:r>
      <w:r w:rsidR="00C7595F">
        <w:t xml:space="preserve"> </w:t>
      </w:r>
      <w:r w:rsidR="00E305F7">
        <w:t xml:space="preserve">de déterminer </w:t>
      </w:r>
      <w:r w:rsidR="00C7595F">
        <w:t xml:space="preserve">d’une part </w:t>
      </w:r>
      <w:r>
        <w:t xml:space="preserve">l’instant auquel </w:t>
      </w:r>
      <w:r w:rsidR="00C7595F">
        <w:t xml:space="preserve">l’azote </w:t>
      </w:r>
      <w:r>
        <w:t xml:space="preserve">s’insère sous l’oxyde </w:t>
      </w:r>
      <w:r w:rsidR="00C7595F">
        <w:t xml:space="preserve">et d’autre </w:t>
      </w:r>
      <w:r>
        <w:t>de</w:t>
      </w:r>
      <w:r w:rsidR="00C7595F">
        <w:t xml:space="preserve"> distinguer</w:t>
      </w:r>
      <w:r w:rsidR="001B3854">
        <w:t xml:space="preserve"> les effets de l’</w:t>
      </w:r>
      <w:r w:rsidR="00C7595F">
        <w:t xml:space="preserve">oxydation des traitements de </w:t>
      </w:r>
      <w:r>
        <w:t xml:space="preserve">ceux ayant pour origine la </w:t>
      </w:r>
      <w:r w:rsidR="00C7595F">
        <w:t>précontrainte.</w:t>
      </w:r>
      <w:r>
        <w:t xml:space="preserve"> Au cours de l’exposition à haute température on pourra alterner la présence des isotopes de l’azote et de l’oxygène afin de comprendre le changement de régime cinétique observé au cours de l’oxydation du titane lorsque la température dépasse 500°C et ce jusqu’à 800°C.</w:t>
      </w:r>
      <w:r w:rsidR="002761FB">
        <w:t xml:space="preserve"> </w:t>
      </w:r>
      <w:r w:rsidR="002761FB" w:rsidRPr="00242CB0">
        <w:t>Les analyses par XPS-AES avec un four couplé pourront éviter les contaminations de mises à l’air entre les étapes d’oxydation à HT et l’analyse élémentaire</w:t>
      </w:r>
      <w:r w:rsidR="00C24C2F">
        <w:t xml:space="preserve"> ainsi que le SIMS pour évaluer </w:t>
      </w:r>
      <w:r w:rsidR="0075625F">
        <w:t>les rapports isotopiques</w:t>
      </w:r>
      <w:r w:rsidR="00C24C2F">
        <w:t xml:space="preserve"> des éléments marqués</w:t>
      </w:r>
      <w:r w:rsidR="002761FB" w:rsidRPr="00242CB0">
        <w:t xml:space="preserve">. </w:t>
      </w:r>
    </w:p>
    <w:p w:rsidR="00E305F7" w:rsidRDefault="002440B3" w:rsidP="002440B3">
      <w:pPr>
        <w:pStyle w:val="Paragraphedeliste"/>
        <w:numPr>
          <w:ilvl w:val="2"/>
          <w:numId w:val="2"/>
        </w:numPr>
        <w:tabs>
          <w:tab w:val="left" w:pos="1665"/>
        </w:tabs>
        <w:spacing w:after="200" w:line="276" w:lineRule="auto"/>
        <w:ind w:left="851"/>
        <w:jc w:val="both"/>
      </w:pPr>
      <w:r>
        <w:t>Pour la caractérisation des éléments, e</w:t>
      </w:r>
      <w:r w:rsidR="007D0766">
        <w:t>lle nécessitera en outre l’utilisation d</w:t>
      </w:r>
      <w:r w:rsidR="00E305F7">
        <w:t>e</w:t>
      </w:r>
      <w:r w:rsidR="00B50D45">
        <w:t xml:space="preserve"> Grand</w:t>
      </w:r>
      <w:r w:rsidR="00E305F7">
        <w:t>s</w:t>
      </w:r>
      <w:r w:rsidR="00B50D45">
        <w:t xml:space="preserve"> Instrument</w:t>
      </w:r>
      <w:r w:rsidR="00E305F7">
        <w:t>s</w:t>
      </w:r>
      <w:r w:rsidR="00B50D45">
        <w:t> :</w:t>
      </w:r>
      <w:r w:rsidR="007D0766">
        <w:t xml:space="preserve"> </w:t>
      </w:r>
    </w:p>
    <w:p w:rsidR="002440B3" w:rsidRDefault="00E305F7" w:rsidP="00E305F7">
      <w:pPr>
        <w:pStyle w:val="Paragraphedeliste"/>
        <w:numPr>
          <w:ilvl w:val="1"/>
          <w:numId w:val="2"/>
        </w:numPr>
        <w:tabs>
          <w:tab w:val="left" w:pos="1665"/>
        </w:tabs>
        <w:spacing w:after="200" w:line="276" w:lineRule="auto"/>
        <w:jc w:val="both"/>
      </w:pPr>
      <w:r>
        <w:t xml:space="preserve">Le premier est </w:t>
      </w:r>
      <w:r w:rsidR="007D0766">
        <w:t>la microsonde nucléaire (PIXE, NRA, RBS, DIGE et PIGE avec différents faisceau d’ions (IBA))</w:t>
      </w:r>
      <w:r w:rsidR="00B50D45">
        <w:t xml:space="preserve"> disponible au CEA de Saclay</w:t>
      </w:r>
      <w:r w:rsidR="00081FE1">
        <w:t xml:space="preserve"> (NIMBE-LEEL)</w:t>
      </w:r>
      <w:r w:rsidR="007D0766">
        <w:t xml:space="preserve">. </w:t>
      </w:r>
      <w:r w:rsidR="002440B3">
        <w:t xml:space="preserve">La détermination des profils d’oxygène correspondant à la zone de dissolution d’oxygène observée sous l’oxyde </w:t>
      </w:r>
      <w:r w:rsidR="00B50D45">
        <w:t>sera</w:t>
      </w:r>
      <w:r w:rsidR="002440B3">
        <w:t xml:space="preserve"> effectuée en mode DIGE pour l’oxygène qui a montré de bons résultats dans le cas de l’alliage bétagène.</w:t>
      </w:r>
    </w:p>
    <w:p w:rsidR="00E305F7" w:rsidRDefault="00E305F7" w:rsidP="00D2689C">
      <w:pPr>
        <w:pStyle w:val="Paragraphedeliste"/>
        <w:numPr>
          <w:ilvl w:val="1"/>
          <w:numId w:val="2"/>
        </w:numPr>
        <w:tabs>
          <w:tab w:val="left" w:pos="1665"/>
        </w:tabs>
        <w:spacing w:after="0" w:line="276" w:lineRule="auto"/>
        <w:jc w:val="both"/>
      </w:pPr>
      <w:r>
        <w:t xml:space="preserve">Le second pourrait être la ligne DIFFAB du synchrotron SOLEIL permettant de combiner des études  à hautes température in situ de l’oxydation du titane pour suivre la croissance des couches d’oxynitrures de titane avec la durée d’exposition. </w:t>
      </w:r>
      <w:r w:rsidR="00193044">
        <w:t xml:space="preserve">Elle permet entre autre de suivre localement cette croissance et aussi certaines propriétés mécaniques notamment sous contraintes bi-axiales. </w:t>
      </w:r>
      <w:r w:rsidR="00942E4D">
        <w:t xml:space="preserve">Cette dernière partie permet déjà de considérer les couplages mécano-chimiques. </w:t>
      </w:r>
    </w:p>
    <w:p w:rsidR="00B50D45" w:rsidRDefault="00B50D45" w:rsidP="00750F87">
      <w:pPr>
        <w:jc w:val="both"/>
      </w:pPr>
      <w:r>
        <w:t xml:space="preserve">Les travaux seront menés </w:t>
      </w:r>
      <w:r w:rsidR="00C7595F">
        <w:t xml:space="preserve">en la collaboration </w:t>
      </w:r>
      <w:r w:rsidR="00193044" w:rsidRPr="00242CB0">
        <w:t xml:space="preserve">au sein de l’équipe M4OxE </w:t>
      </w:r>
      <w:r w:rsidR="00C7595F" w:rsidRPr="00242CB0">
        <w:t>avec</w:t>
      </w:r>
      <w:r w:rsidR="0075625F">
        <w:t xml:space="preserve"> T. MONTESIN,</w:t>
      </w:r>
      <w:r w:rsidR="00C7595F" w:rsidRPr="00242CB0">
        <w:t xml:space="preserve"> </w:t>
      </w:r>
      <w:r w:rsidR="00193044" w:rsidRPr="00242CB0">
        <w:t>I. POPA (pour le synchrotron) et S. CHEVALLIER pour le marquage isotopique e</w:t>
      </w:r>
      <w:r w:rsidR="00193044">
        <w:t xml:space="preserve">t aussi </w:t>
      </w:r>
      <w:r w:rsidR="00C7595F">
        <w:t>l’équipe SIOM</w:t>
      </w:r>
      <w:r w:rsidR="007D0766">
        <w:t xml:space="preserve"> (V. POTIN – B. DOMENICHINI et M-C. MARCO DE LUCAS) </w:t>
      </w:r>
      <w:r>
        <w:t>spécialisée dans</w:t>
      </w:r>
      <w:r w:rsidR="00C7595F">
        <w:t xml:space="preserve"> les dépôts très fins</w:t>
      </w:r>
      <w:r>
        <w:t>, car</w:t>
      </w:r>
      <w:r w:rsidR="00C7595F">
        <w:t xml:space="preserve"> les couches </w:t>
      </w:r>
      <w:r>
        <w:t>d’oxydes formées aux premiers instants sont minces</w:t>
      </w:r>
      <w:r w:rsidR="00C7595F">
        <w:t xml:space="preserve">. </w:t>
      </w:r>
    </w:p>
    <w:p w:rsidR="004A2ACC" w:rsidRPr="00242CB0" w:rsidRDefault="00D2689C" w:rsidP="00D2689C">
      <w:pPr>
        <w:tabs>
          <w:tab w:val="left" w:pos="1665"/>
        </w:tabs>
        <w:spacing w:after="0" w:line="276" w:lineRule="auto"/>
        <w:jc w:val="both"/>
        <w:rPr>
          <w:lang w:val="en-US"/>
        </w:rPr>
      </w:pPr>
      <w:r w:rsidRPr="00CB4FAA">
        <w:t xml:space="preserve"> </w:t>
      </w:r>
      <w:r w:rsidR="004A2ACC" w:rsidRPr="00242CB0">
        <w:rPr>
          <w:lang w:val="en-US"/>
        </w:rPr>
        <w:t>[1] A. Kanjer, V. Optasanu,  L. Lavisse, M.C. Marco de Lucas, S. Dejardin, M. François, P. Berger, P. Peyre, C. Gorny, T. Montesin, Influence of Mechanical Surface Treatment on HighTemperature Oxidation of Pure Titanium, Oxid. Met. (2017) 88, 383–395</w:t>
      </w:r>
    </w:p>
    <w:p w:rsidR="004A2ACC" w:rsidRDefault="004A2ACC" w:rsidP="00D2689C">
      <w:pPr>
        <w:tabs>
          <w:tab w:val="left" w:pos="1665"/>
        </w:tabs>
        <w:spacing w:after="0" w:line="276" w:lineRule="auto"/>
        <w:jc w:val="both"/>
      </w:pPr>
      <w:r w:rsidRPr="00242CB0">
        <w:rPr>
          <w:lang w:val="en-US"/>
        </w:rPr>
        <w:t xml:space="preserve">[2] A. Kanjer, L. Lavisse, V. Optasanu, P. Berger, C. Gorny, P. Peyre, F. Herbst, O. Heintz, N. Geoffroy, T. Montesin, M.C. Marco de Lucas, Effect of laser shock peening on the high temperature oxidation resistance of titanium, Surf. </w:t>
      </w:r>
      <w:r w:rsidRPr="006C1CE8">
        <w:t>Coat. Tech. (2017), 326, 146-155</w:t>
      </w:r>
    </w:p>
    <w:p w:rsidR="00C24C2F" w:rsidRPr="006C1CE8" w:rsidRDefault="00C24C2F" w:rsidP="004A2ACC">
      <w:pPr>
        <w:tabs>
          <w:tab w:val="left" w:pos="1665"/>
        </w:tabs>
        <w:spacing w:after="200" w:line="276" w:lineRule="auto"/>
        <w:jc w:val="both"/>
      </w:pPr>
      <w:r>
        <w:t xml:space="preserve">[3] Rapport de stage de </w:t>
      </w:r>
      <w:r w:rsidR="007F6CE8">
        <w:t xml:space="preserve">M2, </w:t>
      </w:r>
      <w:r>
        <w:t>R. KAVEGE, ICB-LEM3</w:t>
      </w:r>
      <w:r w:rsidR="007F6CE8">
        <w:t>, 2019</w:t>
      </w:r>
    </w:p>
    <w:p w:rsidR="004A2ACC" w:rsidRDefault="004A2ACC" w:rsidP="004A2ACC">
      <w:pPr>
        <w:tabs>
          <w:tab w:val="left" w:pos="1665"/>
        </w:tabs>
        <w:spacing w:after="200" w:line="276" w:lineRule="auto"/>
        <w:jc w:val="both"/>
      </w:pPr>
    </w:p>
    <w:sectPr w:rsidR="004A2ACC" w:rsidSect="00CB4FAA">
      <w:pgSz w:w="11906" w:h="16838" w:code="9"/>
      <w:pgMar w:top="851" w:right="851" w:bottom="851"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E6" w:rsidRDefault="008209E6" w:rsidP="00D2689C">
      <w:pPr>
        <w:spacing w:after="0" w:line="240" w:lineRule="auto"/>
      </w:pPr>
      <w:r>
        <w:separator/>
      </w:r>
    </w:p>
  </w:endnote>
  <w:endnote w:type="continuationSeparator" w:id="0">
    <w:p w:rsidR="008209E6" w:rsidRDefault="008209E6" w:rsidP="00D2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E6" w:rsidRDefault="008209E6" w:rsidP="00D2689C">
      <w:pPr>
        <w:spacing w:after="0" w:line="240" w:lineRule="auto"/>
      </w:pPr>
      <w:r>
        <w:separator/>
      </w:r>
    </w:p>
  </w:footnote>
  <w:footnote w:type="continuationSeparator" w:id="0">
    <w:p w:rsidR="008209E6" w:rsidRDefault="008209E6" w:rsidP="00D26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D1E"/>
    <w:multiLevelType w:val="hybridMultilevel"/>
    <w:tmpl w:val="297278E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3BA1BD7"/>
    <w:multiLevelType w:val="hybridMultilevel"/>
    <w:tmpl w:val="5F30450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A0F4542"/>
    <w:multiLevelType w:val="hybridMultilevel"/>
    <w:tmpl w:val="67EC61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D478CE"/>
    <w:multiLevelType w:val="hybridMultilevel"/>
    <w:tmpl w:val="1F16F8EC"/>
    <w:lvl w:ilvl="0" w:tplc="3D0E96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787B67"/>
    <w:multiLevelType w:val="hybridMultilevel"/>
    <w:tmpl w:val="C150A14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757A1D8E"/>
    <w:multiLevelType w:val="hybridMultilevel"/>
    <w:tmpl w:val="B01244C4"/>
    <w:lvl w:ilvl="0" w:tplc="7F44D52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535DF4"/>
    <w:multiLevelType w:val="hybridMultilevel"/>
    <w:tmpl w:val="C4E6496C"/>
    <w:lvl w:ilvl="0" w:tplc="FB06A3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2F"/>
    <w:rsid w:val="00081FE1"/>
    <w:rsid w:val="00116739"/>
    <w:rsid w:val="001563CA"/>
    <w:rsid w:val="001721BF"/>
    <w:rsid w:val="00193044"/>
    <w:rsid w:val="001A5591"/>
    <w:rsid w:val="001B3854"/>
    <w:rsid w:val="00242CB0"/>
    <w:rsid w:val="002440B3"/>
    <w:rsid w:val="00263452"/>
    <w:rsid w:val="002761FB"/>
    <w:rsid w:val="002A0F2C"/>
    <w:rsid w:val="00343C6A"/>
    <w:rsid w:val="00352AB5"/>
    <w:rsid w:val="00360B69"/>
    <w:rsid w:val="003E0DEE"/>
    <w:rsid w:val="003F0269"/>
    <w:rsid w:val="00455700"/>
    <w:rsid w:val="004A2ACC"/>
    <w:rsid w:val="004E582F"/>
    <w:rsid w:val="00504FE8"/>
    <w:rsid w:val="00524CBD"/>
    <w:rsid w:val="00551D44"/>
    <w:rsid w:val="00621340"/>
    <w:rsid w:val="0063236E"/>
    <w:rsid w:val="006348D1"/>
    <w:rsid w:val="006A2F8D"/>
    <w:rsid w:val="00706C84"/>
    <w:rsid w:val="00750F87"/>
    <w:rsid w:val="0075625F"/>
    <w:rsid w:val="007A1BBE"/>
    <w:rsid w:val="007A4D7A"/>
    <w:rsid w:val="007D0766"/>
    <w:rsid w:val="007F6CE8"/>
    <w:rsid w:val="007F764A"/>
    <w:rsid w:val="008049DD"/>
    <w:rsid w:val="008209E6"/>
    <w:rsid w:val="00822083"/>
    <w:rsid w:val="00830111"/>
    <w:rsid w:val="00885441"/>
    <w:rsid w:val="00923E78"/>
    <w:rsid w:val="00942E4D"/>
    <w:rsid w:val="00976670"/>
    <w:rsid w:val="00A63771"/>
    <w:rsid w:val="00AB0268"/>
    <w:rsid w:val="00AE28CB"/>
    <w:rsid w:val="00AE7DB5"/>
    <w:rsid w:val="00AF167E"/>
    <w:rsid w:val="00B01165"/>
    <w:rsid w:val="00B50D45"/>
    <w:rsid w:val="00BB236B"/>
    <w:rsid w:val="00C00A42"/>
    <w:rsid w:val="00C24C2F"/>
    <w:rsid w:val="00C519D9"/>
    <w:rsid w:val="00C7595F"/>
    <w:rsid w:val="00CA5DEC"/>
    <w:rsid w:val="00CB4FAA"/>
    <w:rsid w:val="00CC7512"/>
    <w:rsid w:val="00D1614A"/>
    <w:rsid w:val="00D2689C"/>
    <w:rsid w:val="00D678B5"/>
    <w:rsid w:val="00D77BDA"/>
    <w:rsid w:val="00D82DAF"/>
    <w:rsid w:val="00D843A0"/>
    <w:rsid w:val="00DB66A8"/>
    <w:rsid w:val="00DC3562"/>
    <w:rsid w:val="00DE2ED9"/>
    <w:rsid w:val="00E305F7"/>
    <w:rsid w:val="00E8004A"/>
    <w:rsid w:val="00E91A81"/>
    <w:rsid w:val="00EC3979"/>
    <w:rsid w:val="00ED7C77"/>
    <w:rsid w:val="00F56B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583DA87-E71C-4768-9F9E-D3279596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6670"/>
    <w:pPr>
      <w:ind w:left="720"/>
      <w:contextualSpacing/>
    </w:pPr>
  </w:style>
  <w:style w:type="character" w:styleId="Marquedecommentaire">
    <w:name w:val="annotation reference"/>
    <w:basedOn w:val="Policepardfaut"/>
    <w:uiPriority w:val="99"/>
    <w:semiHidden/>
    <w:unhideWhenUsed/>
    <w:rsid w:val="00C7595F"/>
    <w:rPr>
      <w:sz w:val="16"/>
      <w:szCs w:val="16"/>
    </w:rPr>
  </w:style>
  <w:style w:type="paragraph" w:styleId="Commentaire">
    <w:name w:val="annotation text"/>
    <w:basedOn w:val="Normal"/>
    <w:link w:val="CommentaireCar"/>
    <w:uiPriority w:val="99"/>
    <w:semiHidden/>
    <w:unhideWhenUsed/>
    <w:rsid w:val="00C7595F"/>
    <w:pPr>
      <w:spacing w:after="200" w:line="240" w:lineRule="auto"/>
    </w:pPr>
    <w:rPr>
      <w:sz w:val="20"/>
      <w:szCs w:val="20"/>
    </w:rPr>
  </w:style>
  <w:style w:type="character" w:customStyle="1" w:styleId="CommentaireCar">
    <w:name w:val="Commentaire Car"/>
    <w:basedOn w:val="Policepardfaut"/>
    <w:link w:val="Commentaire"/>
    <w:uiPriority w:val="99"/>
    <w:semiHidden/>
    <w:rsid w:val="00C7595F"/>
    <w:rPr>
      <w:sz w:val="20"/>
      <w:szCs w:val="20"/>
    </w:rPr>
  </w:style>
  <w:style w:type="paragraph" w:styleId="Textedebulles">
    <w:name w:val="Balloon Text"/>
    <w:basedOn w:val="Normal"/>
    <w:link w:val="TextedebullesCar"/>
    <w:uiPriority w:val="99"/>
    <w:semiHidden/>
    <w:unhideWhenUsed/>
    <w:rsid w:val="00C759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595F"/>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F167E"/>
    <w:pPr>
      <w:spacing w:after="160"/>
    </w:pPr>
    <w:rPr>
      <w:b/>
      <w:bCs/>
    </w:rPr>
  </w:style>
  <w:style w:type="character" w:customStyle="1" w:styleId="ObjetducommentaireCar">
    <w:name w:val="Objet du commentaire Car"/>
    <w:basedOn w:val="CommentaireCar"/>
    <w:link w:val="Objetducommentaire"/>
    <w:uiPriority w:val="99"/>
    <w:semiHidden/>
    <w:rsid w:val="00AF167E"/>
    <w:rPr>
      <w:b/>
      <w:bCs/>
      <w:sz w:val="20"/>
      <w:szCs w:val="20"/>
    </w:rPr>
  </w:style>
  <w:style w:type="character" w:customStyle="1" w:styleId="field-content">
    <w:name w:val="field-content"/>
    <w:basedOn w:val="Policepardfaut"/>
    <w:rsid w:val="00193044"/>
  </w:style>
  <w:style w:type="paragraph" w:styleId="En-tte">
    <w:name w:val="header"/>
    <w:basedOn w:val="Normal"/>
    <w:link w:val="En-tteCar"/>
    <w:uiPriority w:val="99"/>
    <w:unhideWhenUsed/>
    <w:rsid w:val="00D2689C"/>
    <w:pPr>
      <w:tabs>
        <w:tab w:val="center" w:pos="4536"/>
        <w:tab w:val="right" w:pos="9072"/>
      </w:tabs>
      <w:spacing w:after="0" w:line="240" w:lineRule="auto"/>
    </w:pPr>
  </w:style>
  <w:style w:type="character" w:customStyle="1" w:styleId="En-tteCar">
    <w:name w:val="En-tête Car"/>
    <w:basedOn w:val="Policepardfaut"/>
    <w:link w:val="En-tte"/>
    <w:uiPriority w:val="99"/>
    <w:rsid w:val="00D2689C"/>
  </w:style>
  <w:style w:type="paragraph" w:styleId="Pieddepage">
    <w:name w:val="footer"/>
    <w:basedOn w:val="Normal"/>
    <w:link w:val="PieddepageCar"/>
    <w:uiPriority w:val="99"/>
    <w:unhideWhenUsed/>
    <w:rsid w:val="00D268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utbm.fr/sites/default/files/gestionFichiers/docs/logo%20UBFC%20complet%20positif-18-06.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1175</Words>
  <Characters>6468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Lavisse</dc:creator>
  <cp:keywords/>
  <dc:description/>
  <cp:lastModifiedBy>gilles</cp:lastModifiedBy>
  <cp:revision>7</cp:revision>
  <dcterms:created xsi:type="dcterms:W3CDTF">2019-09-06T12:13:00Z</dcterms:created>
  <dcterms:modified xsi:type="dcterms:W3CDTF">2019-09-30T08:06:00Z</dcterms:modified>
</cp:coreProperties>
</file>